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55555"/>
          <w:sz w:val="20"/>
          <w:szCs w:val="20"/>
        </w:rPr>
        <w:t xml:space="preserve">Fundamentos de IA para estudiantes de Derecho</w:t>
      </w:r>
    </w:p>
    <w:p>
      <w:pPr>
        <w:pStyle w:val="Heading1"/>
        <w:spacing w:after="100"/>
      </w:pPr>
      <w:r>
        <w:rPr>
          <w:rFonts w:ascii="Arial" w:cs="Arial" w:eastAsia="Arial" w:hAnsi="Arial"/>
          <w:b/>
          <w:bCs/>
          <w:color w:val="164E63"/>
          <w:sz w:val="30"/>
          <w:szCs w:val="30"/>
        </w:rPr>
        <w:t xml:space="preserve">Clase 2 · Configurar: Privacidad, datos, conectores y repositorios abiertos</w:t>
      </w:r>
    </w:p>
    <w:p>
      <w:pPr>
        <w:spacing w:after="120" w:line="264"/>
      </w:pPr>
      <w:r>
        <w:rPr>
          <w:i/>
          <w:iCs/>
          <w:color w:val="555555"/>
          <w:sz w:val="19"/>
          <w:szCs w:val="19"/>
        </w:rPr>
        <w:t xml:space="preserve">Escuela de Derecho · PUCV · Relator: Diego Hernán Ojeda Cifuentes · 2 horas</w:t>
      </w:r>
    </w:p>
    <w:p>
      <w:pPr>
        <w:spacing w:after="120" w:line="264"/>
      </w:pPr>
      <w:r>
        <w:rPr>
          <w:sz w:val="22"/>
          <w:szCs w:val="22"/>
        </w:rPr>
        <w:t xml:space="preserve">Objetivo: Dejar tu cuenta configurada, saber qué información no entra jamás a una herramienta pública y manejar conectores y permisos.</w:t>
      </w:r>
    </w:p>
    <w:p>
      <w:pPr>
        <w:spacing w:after="120" w:line="264"/>
      </w:pPr>
      <w:r>
        <w:rPr>
          <w:sz w:val="22"/>
          <w:szCs w:val="22"/>
        </w:rPr>
        <w:t xml:space="preserve">Producto de la clase: Tu cuenta revisada y la lista de verificación de privacidad completa.</w:t>
      </w:r>
    </w:p>
    <w:p>
      <w:pPr>
        <w:spacing w:after="100"/>
      </w:pPr>
    </w:p>
    <w:p>
      <w:pPr>
        <w:pStyle w:val="Heading2"/>
        <w:spacing w:after="90" w:before="220"/>
      </w:pPr>
      <w:r>
        <w:rPr>
          <w:rFonts w:ascii="Arial" w:cs="Arial" w:eastAsia="Arial" w:hAnsi="Arial"/>
          <w:b/>
          <w:bCs/>
          <w:color w:val="0E7490"/>
          <w:sz w:val="25"/>
          <w:szCs w:val="25"/>
        </w:rPr>
        <w:t xml:space="preserve">1. Tres destinos para lo que escribes (0–15)</w:t>
      </w:r>
    </w:p>
    <w:p>
      <w:pPr>
        <w:spacing w:after="120" w:line="264"/>
      </w:pPr>
      <w:r>
        <w:rPr>
          <w:sz w:val="22"/>
          <w:szCs w:val="22"/>
        </w:rPr>
        <w:t xml:space="preserve">Lo que pegas queda almacenado, puede ser revisado por personas y puede usarse para entrenar modelos futuros. En los planes gratuitos el entrenamiento suele venir activado por defecto: apagar es tu primer acto de criterio. Y apagar no borra lo ya enviado.</w:t>
      </w:r>
    </w:p>
    <w:p>
      <w:pPr>
        <w:pStyle w:val="Heading2"/>
        <w:spacing w:after="90" w:before="220"/>
      </w:pPr>
      <w:r>
        <w:rPr>
          <w:rFonts w:ascii="Arial" w:cs="Arial" w:eastAsia="Arial" w:hAnsi="Arial"/>
          <w:b/>
          <w:bCs/>
          <w:color w:val="0E7490"/>
          <w:sz w:val="25"/>
          <w:szCs w:val="25"/>
        </w:rPr>
        <w:t xml:space="preserve">2. Manos: apaga el entrenamiento en tus tres cuentas (15–45)</w:t>
      </w:r>
    </w:p>
    <w:p>
      <w:pPr>
        <w:spacing w:after="120" w:line="264"/>
      </w:pPr>
      <w:r>
        <w:rPr>
          <w:sz w:val="22"/>
          <w:szCs w:val="22"/>
        </w:rPr>
        <w:t xml:space="preserve">Cada plataforma esconde el interruptor en un lugar distinto. Abre cada enlace y deja la configuración hecha hoy; el protocolo de abajo es tu constancia.</w:t>
      </w:r>
    </w:p>
    <w:p>
      <w:pPr>
        <w:spacing w:after="120" w:line="264"/>
      </w:pPr>
      <w:r>
        <w:rPr>
          <w:sz w:val="21"/>
          <w:szCs w:val="21"/>
        </w:rPr>
        <w:t xml:space="preserve">   1. ChatGPT: Controles de datos → desactiva «Mejorar el modelo para todos». Conoce además el chat temporal.</w:t>
      </w:r>
    </w:p>
    <w:p>
      <w:pPr>
        <w:spacing w:after="120" w:line="264"/>
      </w:pPr>
      <w:r>
        <w:rPr>
          <w:sz w:val="21"/>
          <w:szCs w:val="21"/>
        </w:rPr>
        <w:t xml:space="preserve">   2. Claude: Configuración → Privacidad → desactiva «Ayudar a mejorar Claude» (viene activado).</w:t>
      </w:r>
    </w:p>
    <w:p>
      <w:pPr>
        <w:spacing w:after="120" w:line="264"/>
      </w:pPr>
      <w:r>
        <w:rPr>
          <w:sz w:val="21"/>
          <w:szCs w:val="21"/>
        </w:rPr>
        <w:t xml:space="preserve">   3. Gemini: desactiva «Actividad en las aplicaciones de Gemini» y configura el borrado automático.</w:t>
      </w:r>
    </w:p>
    <w:p>
      <w:pPr>
        <w:spacing w:after="120" w:line="264"/>
      </w:pPr>
      <w:r>
        <w:rPr>
          <w:sz w:val="20"/>
          <w:szCs w:val="20"/>
        </w:rPr>
        <w:t xml:space="preserve">→ ChatGPT · Controles de datos: https://chatgpt.com/settings/data-controls</w:t>
      </w:r>
    </w:p>
    <w:p>
      <w:pPr>
        <w:spacing w:after="120" w:line="264"/>
      </w:pPr>
      <w:r>
        <w:rPr>
          <w:sz w:val="20"/>
          <w:szCs w:val="20"/>
        </w:rPr>
        <w:t xml:space="preserve">→ Claude · Configuración: https://claude.ai/settings</w:t>
      </w:r>
    </w:p>
    <w:p>
      <w:pPr>
        <w:spacing w:after="120" w:line="264"/>
      </w:pPr>
      <w:r>
        <w:rPr>
          <w:sz w:val="20"/>
          <w:szCs w:val="20"/>
        </w:rPr>
        <w:t xml:space="preserve">→ Gemini · Actividad: https://myactivity.google.com/product/gemini</w:t>
      </w:r>
    </w:p>
    <w:p>
      <w:pPr>
        <w:pStyle w:val="Heading2"/>
        <w:spacing w:after="90" w:before="220"/>
      </w:pPr>
      <w:r>
        <w:rPr>
          <w:rFonts w:ascii="Arial" w:cs="Arial" w:eastAsia="Arial" w:hAnsi="Arial"/>
          <w:b/>
          <w:bCs/>
          <w:color w:val="0E7490"/>
          <w:sz w:val="25"/>
          <w:szCs w:val="25"/>
        </w:rPr>
        <w:t xml:space="preserve">3. Lo que no se sube nunca (con ninguna configuración) (45–65)</w:t>
      </w:r>
    </w:p>
    <w:p>
      <w:pPr>
        <w:spacing w:after="120" w:line="264"/>
      </w:pPr>
      <w:r>
        <w:rPr>
          <w:sz w:val="22"/>
          <w:szCs w:val="22"/>
        </w:rPr>
        <w:t xml:space="preserve">Datos personales de terceros, datos sensibles, antecedentes bajo secreto profesional y documentos con reserva. La guía del Colegio de Abogados (julio 2026) es categórica: «en ningún caso» información confidencial en sistemas públicos sin asegurar que no se reutilice. La técnica que resuelve el día a día: anonimizar antes de pegar.</w:t>
      </w:r>
    </w:p>
    <w:p>
      <w:pPr>
        <w:spacing w:after="120" w:line="264"/>
      </w:pPr>
      <w:r>
        <w:rPr>
          <w:i/>
          <w:iCs/>
          <w:color w:val="555555"/>
          <w:sz w:val="20"/>
          <w:szCs w:val="20"/>
        </w:rPr>
        <w:t xml:space="preserve">Dato: Ley 21.719 de datos personales: vigencia fijada para el 1-12-2026 (proyecto de postergación a 2027 en trámite). El deber de confidencialidad no espera.</w:t>
      </w:r>
    </w:p>
    <w:tbl>
      <w:tblPr>
        <w:tblW w:type="dxa" w:w="9360"/>
        <w:tblBorders>
          <w:top w:val="single" w:color="BBBBBB" w:sz="4"/>
          <w:left w:val="single" w:color="BBBBBB" w:sz="4"/>
          <w:bottom w:val="single" w:color="BBBBBB" w:sz="4"/>
          <w:right w:val="single" w:color="BBBBBB" w:sz="4"/>
          <w:insideH w:val="single" w:color="BBBBBB" w:sz="4"/>
          <w:insideV w:val="single" w:color="BBBBBB" w:sz="4"/>
        </w:tblBorders>
      </w:tblPr>
      <w:tblGrid>
        <w:gridCol w:w="9360"/>
      </w:tblGrid>
      <w:tr>
        <w:tc>
          <w:tcPr>
            <w:tcW w:type="dxa" w:w="9360"/>
            <w:shd w:fill="F2F6F7" w:val="clear"/>
            <w:tcMar>
              <w:top w:type="dxa" w:w="120"/>
              <w:left w:type="dxa" w:w="160"/>
              <w:bottom w:type="dxa" w:w="120"/>
              <w:right w:type="dxa" w:w="160"/>
            </w:tcMar>
          </w:tcPr>
          <w:p>
            <w:pPr>
              <w:spacing w:after="60"/>
            </w:pPr>
            <w:r>
              <w:rPr>
                <w:rFonts w:ascii="Arial" w:cs="Arial" w:eastAsia="Arial" w:hAnsi="Arial"/>
                <w:b/>
                <w:bCs/>
                <w:color w:val="0E7490"/>
                <w:sz w:val="20"/>
                <w:szCs w:val="20"/>
              </w:rPr>
              <w:t xml:space="preserve">El anonimizador (pídele a la IA que te proteja de ti)</w:t>
            </w:r>
          </w:p>
          <w:p>
            <w:pPr>
              <w:spacing w:after="40"/>
            </w:pPr>
            <w:r>
              <w:rPr>
                <w:rFonts w:ascii="Consolas" w:cs="Consolas" w:eastAsia="Consolas" w:hAnsi="Consolas"/>
                <w:color w:val="222222"/>
                <w:sz w:val="19"/>
                <w:szCs w:val="19"/>
              </w:rPr>
              <w:t xml:space="preserve">Voy a pegarte la descripción de un caso. Antes de responder nada, reescríbela reemplazando todo dato identificatorio (nombres, RUT, empresas, fechas exactas, montos exactos, lugares) por roles y rangos genéricos, y muéstrame la versión anonimizada para que yo la apruebe. Solo después de mi aprobación, analiza el caso.</w:t>
            </w:r>
          </w:p>
        </w:tc>
      </w:tr>
    </w:tbl>
    <w:p>
      <w:pPr>
        <w:spacing w:after="100"/>
      </w:pPr>
    </w:p>
    <w:tbl>
      <w:tblPr>
        <w:tblW w:type="dxa" w:w="9360"/>
        <w:tblBorders>
          <w:top w:val="single" w:color="BBBBBB" w:sz="4"/>
          <w:left w:val="single" w:color="BBBBBB" w:sz="4"/>
          <w:bottom w:val="single" w:color="BBBBBB" w:sz="4"/>
          <w:right w:val="single" w:color="BBBBBB" w:sz="4"/>
          <w:insideH w:val="single" w:color="BBBBBB" w:sz="4"/>
          <w:insideV w:val="single" w:color="BBBBBB" w:sz="4"/>
        </w:tblBorders>
      </w:tblPr>
      <w:tblGrid>
        <w:gridCol w:w="9360"/>
      </w:tblGrid>
      <w:tr>
        <w:tc>
          <w:tcPr>
            <w:tcW w:type="dxa" w:w="9360"/>
            <w:shd w:fill="F2F6F7" w:val="clear"/>
            <w:tcMar>
              <w:top w:type="dxa" w:w="120"/>
              <w:left w:type="dxa" w:w="160"/>
              <w:bottom w:type="dxa" w:w="120"/>
              <w:right w:type="dxa" w:w="160"/>
            </w:tcMar>
          </w:tcPr>
          <w:p>
            <w:pPr>
              <w:spacing w:after="60"/>
            </w:pPr>
            <w:r>
              <w:rPr>
                <w:rFonts w:ascii="Arial" w:cs="Arial" w:eastAsia="Arial" w:hAnsi="Arial"/>
                <w:b/>
                <w:bCs/>
                <w:color w:val="0E7490"/>
                <w:sz w:val="20"/>
                <w:szCs w:val="20"/>
              </w:rPr>
              <w:t xml:space="preserve">Leer términos y condiciones con ayuda</w:t>
            </w:r>
          </w:p>
          <w:p>
            <w:pPr>
              <w:spacing w:after="40"/>
            </w:pPr>
            <w:r>
              <w:rPr>
                <w:rFonts w:ascii="Consolas" w:cs="Consolas" w:eastAsia="Consolas" w:hAnsi="Consolas"/>
                <w:color w:val="222222"/>
                <w:sz w:val="19"/>
                <w:szCs w:val="19"/>
              </w:rPr>
              <w:t xml:space="preserve">Te pego la política de privacidad de una herramienta. Respóndeme solo con base en el texto pegado, citando la sección: (1) ¿usa mis conversaciones para entrenar modelos y cómo se desactiva? (2) ¿cuánto tiempo retiene mis datos? (3) ¿quién más puede verlos? (4) ¿qué pasa al borrar la cuenta? Si el texto no lo dice, responde «el texto no lo dice», sin suponer.</w:t>
            </w:r>
          </w:p>
        </w:tc>
      </w:tr>
    </w:tbl>
    <w:p>
      <w:pPr>
        <w:spacing w:after="100"/>
      </w:pPr>
    </w:p>
    <w:p>
      <w:pPr>
        <w:pStyle w:val="Heading2"/>
        <w:spacing w:after="90" w:before="220"/>
      </w:pPr>
      <w:r>
        <w:rPr>
          <w:rFonts w:ascii="Arial" w:cs="Arial" w:eastAsia="Arial" w:hAnsi="Arial"/>
          <w:b/>
          <w:bCs/>
          <w:color w:val="0E7490"/>
          <w:sz w:val="25"/>
          <w:szCs w:val="25"/>
        </w:rPr>
        <w:t xml:space="preserve">4. Conectores: enchufar, ver y desenchufar (65–85)</w:t>
      </w:r>
    </w:p>
    <w:p>
      <w:pPr>
        <w:spacing w:after="120" w:line="264"/>
      </w:pPr>
      <w:r>
        <w:rPr>
          <w:sz w:val="22"/>
          <w:szCs w:val="22"/>
        </w:rPr>
        <w:t xml:space="preserve">Un conector autoriza al asistente a leer tu correo, tus archivos o tu calendario, y la autorización persiste hasta que alguien la revoca. Regla: conectar lo que se necesita, mientras se necesita, en la cuenta que corresponde.</w:t>
      </w:r>
    </w:p>
    <w:p>
      <w:pPr>
        <w:spacing w:after="120" w:line="264"/>
      </w:pPr>
      <w:r>
        <w:rPr>
          <w:sz w:val="21"/>
          <w:szCs w:val="21"/>
        </w:rPr>
        <w:t xml:space="preserve">   1. Abre las conexiones de terceros de tu cuenta Google y revisa qué tiene acceso desde hace años.</w:t>
      </w:r>
    </w:p>
    <w:p>
      <w:pPr>
        <w:spacing w:after="120" w:line="264"/>
      </w:pPr>
      <w:r>
        <w:rPr>
          <w:sz w:val="21"/>
          <w:szCs w:val="21"/>
        </w:rPr>
        <w:t xml:space="preserve">   2. Retira hoy al menos una aplicación que ya no uses.</w:t>
      </w:r>
    </w:p>
    <w:p>
      <w:pPr>
        <w:spacing w:after="120" w:line="264"/>
      </w:pPr>
      <w:r>
        <w:rPr>
          <w:sz w:val="20"/>
          <w:szCs w:val="20"/>
        </w:rPr>
        <w:t xml:space="preserve">→ Google · Conexiones de terceros: https://myaccount.google.com/connections (revócalas aquí)</w:t>
      </w:r>
    </w:p>
    <w:p>
      <w:pPr>
        <w:pStyle w:val="Heading2"/>
        <w:spacing w:after="90" w:before="220"/>
      </w:pPr>
      <w:r>
        <w:rPr>
          <w:rFonts w:ascii="Arial" w:cs="Arial" w:eastAsia="Arial" w:hAnsi="Arial"/>
          <w:b/>
          <w:bCs/>
          <w:color w:val="0E7490"/>
          <w:sz w:val="25"/>
          <w:szCs w:val="25"/>
        </w:rPr>
        <w:t xml:space="preserve">5. Repositorios de libre acceso: lo que existe fuera de las tres de siempre (85–105)</w:t>
      </w:r>
    </w:p>
    <w:p>
      <w:pPr>
        <w:spacing w:after="120" w:line="264"/>
      </w:pPr>
      <w:r>
        <w:rPr>
          <w:sz w:val="22"/>
          <w:szCs w:val="22"/>
        </w:rPr>
        <w:t xml:space="preserve">Hugging Face reúne millones de modelos abiertos con sus datos y licencias; y el derecho chileno tiene fuentes gratuitas y oficiales que verifican todo lo que el curso produce.</w:t>
      </w:r>
    </w:p>
    <w:p>
      <w:pPr>
        <w:spacing w:after="120" w:line="264"/>
      </w:pPr>
      <w:r>
        <w:rPr>
          <w:sz w:val="20"/>
          <w:szCs w:val="20"/>
        </w:rPr>
        <w:t xml:space="preserve">→ Hugging Face: https://huggingface.co</w:t>
      </w:r>
    </w:p>
    <w:p>
      <w:pPr>
        <w:spacing w:after="120" w:line="264"/>
      </w:pPr>
      <w:r>
        <w:rPr>
          <w:sz w:val="20"/>
          <w:szCs w:val="20"/>
        </w:rPr>
        <w:t xml:space="preserve">→ Ley Chile: https://www.bcn.cl/leychile (+416.000 normas a texto vigente)</w:t>
      </w:r>
    </w:p>
    <w:p>
      <w:pPr>
        <w:spacing w:after="120" w:line="264"/>
      </w:pPr>
      <w:r>
        <w:rPr>
          <w:sz w:val="20"/>
          <w:szCs w:val="20"/>
        </w:rPr>
        <w:t xml:space="preserve">→ Poder Judicial: https://www.pjud.cl (buscadores de sentencias)</w:t>
      </w:r>
    </w:p>
    <w:p>
      <w:pPr>
        <w:spacing w:after="120" w:line="264"/>
      </w:pPr>
      <w:r>
        <w:rPr>
          <w:sz w:val="20"/>
          <w:szCs w:val="20"/>
        </w:rPr>
        <w:t xml:space="preserve">→ Diario Oficial: https://www.diariooficial.interior.gob.cl</w:t>
      </w:r>
    </w:p>
    <w:p>
      <w:pPr>
        <w:spacing w:after="120" w:line="264"/>
      </w:pPr>
      <w:r>
        <w:rPr>
          <w:sz w:val="20"/>
          <w:szCs w:val="20"/>
        </w:rPr>
        <w:t xml:space="preserve">→ SciELO Chile: https://scielo.conicyt.cl (doctrina en acceso abierto)</w:t>
      </w:r>
    </w:p>
    <w:p>
      <w:pPr>
        <w:pStyle w:val="Heading2"/>
        <w:spacing w:after="90" w:before="260"/>
      </w:pPr>
      <w:r>
        <w:rPr>
          <w:rFonts w:ascii="Arial" w:cs="Arial" w:eastAsia="Arial" w:hAnsi="Arial"/>
          <w:b/>
          <w:bCs/>
          <w:color w:val="164E63"/>
          <w:sz w:val="25"/>
          <w:szCs w:val="25"/>
        </w:rPr>
        <w:t xml:space="preserve">Protocolo de la clase 2 · lista de verificación de privacidad</w:t>
      </w:r>
    </w:p>
    <w:p>
      <w:pPr>
        <w:spacing w:after="120" w:line="264"/>
      </w:pPr>
      <w:r>
        <w:rPr>
          <w:sz w:val="22"/>
          <w:szCs w:val="22"/>
        </w:rPr>
        <w:t xml:space="preserve">☐  ChatGPT: «Mejorar el modelo para todos» desactivado.</w:t>
      </w:r>
    </w:p>
    <w:p>
      <w:pPr>
        <w:spacing w:after="120" w:line="264"/>
      </w:pPr>
      <w:r>
        <w:rPr>
          <w:sz w:val="22"/>
          <w:szCs w:val="22"/>
        </w:rPr>
        <w:t xml:space="preserve">☐  ChatGPT: sé abrir un chat temporal y cuándo usarlo.</w:t>
      </w:r>
    </w:p>
    <w:p>
      <w:pPr>
        <w:spacing w:after="120" w:line="264"/>
      </w:pPr>
      <w:r>
        <w:rPr>
          <w:sz w:val="22"/>
          <w:szCs w:val="22"/>
        </w:rPr>
        <w:t xml:space="preserve">☐  Claude: «Ayudar a mejorar Claude» desactivado.</w:t>
      </w:r>
    </w:p>
    <w:p>
      <w:pPr>
        <w:spacing w:after="120" w:line="264"/>
      </w:pPr>
      <w:r>
        <w:rPr>
          <w:sz w:val="22"/>
          <w:szCs w:val="22"/>
        </w:rPr>
        <w:t xml:space="preserve">☐  Gemini: actividad revisada y borrado automático configurado.</w:t>
      </w:r>
    </w:p>
    <w:p>
      <w:pPr>
        <w:spacing w:after="120" w:line="264"/>
      </w:pPr>
      <w:r>
        <w:rPr>
          <w:sz w:val="22"/>
          <w:szCs w:val="22"/>
        </w:rPr>
        <w:t xml:space="preserve">☐  Conexiones de terceros de Google auditadas; retiré las que no uso.</w:t>
      </w:r>
    </w:p>
    <w:p>
      <w:pPr>
        <w:spacing w:after="120" w:line="264"/>
      </w:pPr>
      <w:r>
        <w:rPr>
          <w:sz w:val="22"/>
          <w:szCs w:val="22"/>
        </w:rPr>
        <w:t xml:space="preserve">☐  Tengo clara mi lista de «nunca»: datos de terceros, datos sensibles, secreto profesional, reserva.</w:t>
      </w:r>
    </w:p>
    <w:p>
      <w:pPr>
        <w:spacing w:after="120" w:line="264"/>
      </w:pPr>
      <w:r>
        <w:rPr>
          <w:sz w:val="22"/>
          <w:szCs w:val="22"/>
        </w:rPr>
        <w:t xml:space="preserve">☐  Sé anonimizar una consulta antes de pegarla.</w:t>
      </w:r>
    </w:p>
    <w:p>
      <w:pPr>
        <w:spacing w:after="120" w:line="264"/>
      </w:pPr>
      <w:r>
        <w:rPr>
          <w:i/>
          <w:iCs/>
          <w:color w:val="555555"/>
          <w:sz w:val="21"/>
          <w:szCs w:val="21"/>
        </w:rPr>
        <w:t xml:space="preserve">Trae a la clase 3 los materiales digitales de un ramo (apuntes, cédulas, un manual con copia legítima).</w:t>
      </w:r>
    </w:p>
    <w:p>
      <w:pPr>
        <w:spacing w:after="100"/>
      </w:pPr>
    </w:p>
    <w:p>
      <w:pPr>
        <w:spacing w:after="120" w:line="264"/>
      </w:pPr>
      <w:r>
        <w:rPr>
          <w:b/>
          <w:bCs/>
          <w:color w:val="164E63"/>
          <w:sz w:val="21"/>
          <w:szCs w:val="21"/>
        </w:rPr>
        <w:t xml:space="preserve">La IA redacta borradores y organiza información; la fuente oficial (Ley Chile, Poder Judicial) es la única que confirma.</w:t>
      </w:r>
    </w:p>
    <w:sectPr>
      <w:pgSz w:w="12240" w:h="15840" w:orient="portrait"/>
      <w:pgMar w:top="1300" w:right="1300" w:bottom="13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2026-10-29T06:03:40.977Z</dcterms:created>
  <dcterms:modified xsi:type="dcterms:W3CDTF">2026-10-29T06:03:40.977Z</dcterms:modified>
</cp:coreProperties>
</file>

<file path=docProps/custom.xml><?xml version="1.0" encoding="utf-8"?>
<Properties xmlns="http://schemas.openxmlformats.org/officeDocument/2006/custom-properties" xmlns:vt="http://schemas.openxmlformats.org/officeDocument/2006/docPropsVTypes"/>
</file>