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555555"/>
          <w:sz w:val="20"/>
          <w:szCs w:val="20"/>
        </w:rPr>
        <w:t xml:space="preserve">Fundamentos de IA para estudiantes de Derecho</w:t>
      </w:r>
    </w:p>
    <w:p>
      <w:pPr>
        <w:pStyle w:val="Heading1"/>
        <w:spacing w:after="100"/>
      </w:pPr>
      <w:r>
        <w:rPr>
          <w:rFonts w:ascii="Arial" w:cs="Arial" w:eastAsia="Arial" w:hAnsi="Arial"/>
          <w:b/>
          <w:bCs/>
          <w:color w:val="164E63"/>
          <w:sz w:val="30"/>
          <w:szCs w:val="30"/>
        </w:rPr>
        <w:t xml:space="preserve">Clase 1 · Entender: Qué es un modelo de lenguaje y qué hay disponible</w:t>
      </w:r>
    </w:p>
    <w:p>
      <w:pPr>
        <w:spacing w:after="120" w:line="264"/>
      </w:pPr>
      <w:r>
        <w:rPr>
          <w:i/>
          <w:iCs/>
          <w:color w:val="555555"/>
          <w:sz w:val="19"/>
          <w:szCs w:val="19"/>
        </w:rPr>
        <w:t xml:space="preserve">Escuela de Derecho · PUCV · Relator: Diego Hernán Ojeda Cifuentes · 2 horas</w:t>
      </w:r>
    </w:p>
    <w:p>
      <w:pPr>
        <w:spacing w:after="120" w:line="264"/>
      </w:pPr>
      <w:r>
        <w:rPr>
          <w:sz w:val="22"/>
          <w:szCs w:val="22"/>
        </w:rPr>
        <w:t xml:space="preserve">Objetivo: Salir sabiendo cómo genera texto un modelo, por qué alucina y qué herramienta sirve a cada tarea.</w:t>
      </w:r>
    </w:p>
    <w:p>
      <w:pPr>
        <w:spacing w:after="120" w:line="264"/>
      </w:pPr>
      <w:r>
        <w:rPr>
          <w:sz w:val="22"/>
          <w:szCs w:val="22"/>
        </w:rPr>
        <w:t xml:space="preserve">Producto de la clase: Cuaderno comparativo: la misma consulta en tres modelos, con las diferencias registradas.</w:t>
      </w:r>
    </w:p>
    <w:p>
      <w:pPr>
        <w:spacing w:after="100"/>
      </w:pPr>
    </w:p>
    <w:p>
      <w:pPr>
        <w:pStyle w:val="Heading2"/>
        <w:spacing w:after="90" w:before="220"/>
      </w:pPr>
      <w:r>
        <w:rPr>
          <w:rFonts w:ascii="Arial" w:cs="Arial" w:eastAsia="Arial" w:hAnsi="Arial"/>
          <w:b/>
          <w:bCs/>
          <w:color w:val="0E7490"/>
          <w:sz w:val="25"/>
          <w:szCs w:val="25"/>
        </w:rPr>
        <w:t xml:space="preserve">1. Cómo funciona: cuatro conceptos y ninguno más (10–35)</w:t>
      </w:r>
    </w:p>
    <w:p>
      <w:pPr>
        <w:spacing w:after="120" w:line="264"/>
      </w:pPr>
      <w:r>
        <w:rPr>
          <w:sz w:val="22"/>
          <w:szCs w:val="22"/>
        </w:rPr>
        <w:t xml:space="preserve">El modelo no consulta una base de leyes: predice, palabra por palabra, la continuación más probable de lo que escribes. Cuatro conceptos bastan para todo el curso: token, ventana de contexto, corte de conocimiento y probabilidad (no verdad).</w:t>
      </w:r>
    </w:p>
    <w:p>
      <w:pPr>
        <w:spacing w:after="120" w:line="264"/>
      </w:pPr>
      <w:r>
        <w:rPr>
          <w:sz w:val="21"/>
          <w:szCs w:val="21"/>
        </w:rPr>
        <w:t xml:space="preserve">   1. Pega el artículo 1545 del Código Civil en el tokenizador y mira tu texto convertido en fichas.</w:t>
      </w:r>
    </w:p>
    <w:p>
      <w:pPr>
        <w:spacing w:after="120" w:line="264"/>
      </w:pPr>
      <w:r>
        <w:rPr>
          <w:sz w:val="21"/>
          <w:szCs w:val="21"/>
        </w:rPr>
        <w:t xml:space="preserve">   2. Pregunta por una reforma legal muy reciente con y sin búsqueda web, y compara.</w:t>
      </w:r>
    </w:p>
    <w:p>
      <w:pPr>
        <w:spacing w:after="120" w:line="264"/>
      </w:pPr>
      <w:r>
        <w:rPr>
          <w:sz w:val="20"/>
          <w:szCs w:val="20"/>
        </w:rPr>
        <w:t xml:space="preserve">→ Tokenizador: https://platform.openai.com/tokenizer (tu texto en tokens)</w:t>
      </w:r>
    </w:p>
    <w:p>
      <w:pPr>
        <w:spacing w:after="120" w:line="264"/>
      </w:pPr>
      <w:r>
        <w:rPr>
          <w:sz w:val="20"/>
          <w:szCs w:val="20"/>
        </w:rPr>
        <w:t xml:space="preserve">→ Ley Chile: https://www.bcn.cl/leychile (la fuente que confirma)</w:t>
      </w:r>
    </w:p>
    <w:p>
      <w:pPr>
        <w:pStyle w:val="Heading2"/>
        <w:spacing w:after="90" w:before="220"/>
      </w:pPr>
      <w:r>
        <w:rPr>
          <w:rFonts w:ascii="Arial" w:cs="Arial" w:eastAsia="Arial" w:hAnsi="Arial"/>
          <w:b/>
          <w:bCs/>
          <w:color w:val="0E7490"/>
          <w:sz w:val="25"/>
          <w:szCs w:val="25"/>
        </w:rPr>
        <w:t xml:space="preserve">2. Por qué alucina y por qué no cita bien (35–55)</w:t>
      </w:r>
    </w:p>
    <w:p>
      <w:pPr>
        <w:spacing w:after="120" w:line="264"/>
      </w:pPr>
      <w:r>
        <w:rPr>
          <w:sz w:val="22"/>
          <w:szCs w:val="22"/>
        </w:rPr>
        <w:t xml:space="preserve">Una cita jurídica «probable» es justo lo que produce cuando no conoce la real: rol con formato perfecto, autor real con libro inexistente. No es un defecto ocasional: es consecuencia del diseño. La fluidez no es señal de verdad.</w:t>
      </w:r>
    </w:p>
    <w:p>
      <w:pPr>
        <w:spacing w:after="120" w:line="264"/>
      </w:pPr>
      <w:r>
        <w:rPr>
          <w:i/>
          <w:iCs/>
          <w:color w:val="555555"/>
          <w:sz w:val="20"/>
          <w:szCs w:val="20"/>
        </w:rPr>
        <w:t xml:space="preserve">Dato: Corte Suprema, rol 23.322-2025: un mes de suspensión y 5 UTM a una abogada por citas doctrinales inexistentes generadas por IA. La base de Charlotin registra más de 2.200 resoluciones así en el mundo; 3 en Chile.</w:t>
      </w:r>
    </w:p>
    <w:tbl>
      <w:tblPr>
        <w:tblW w:type="dxa" w:w="9360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9360"/>
      </w:tblGrid>
      <w:tr>
        <w:tc>
          <w:tcPr>
            <w:tcW w:type="dxa" w:w="9360"/>
            <w:shd w:fill="F2F6F7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0E7490"/>
                <w:sz w:val="20"/>
                <w:szCs w:val="20"/>
              </w:rPr>
              <w:t xml:space="preserve">Provocar una alucinación (para verla venir)</w:t>
            </w:r>
          </w:p>
          <w:p>
            <w:pPr>
              <w:spacing w:after="4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Transcríbeme el considerando quinto de la sentencia de la Corte Suprema rol 12.345-2023 sobre servidumbre de tránsito.</w:t>
            </w:r>
          </w:p>
        </w:tc>
      </w:tr>
    </w:tbl>
    <w:p>
      <w:pPr>
        <w:spacing w:after="120" w:line="264"/>
      </w:pPr>
      <w:r>
        <w:rPr>
          <w:i/>
          <w:iCs/>
          <w:color w:val="555555"/>
          <w:sz w:val="19"/>
          <w:szCs w:val="19"/>
        </w:rPr>
        <w:t xml:space="preserve">Nota: Hazlo sin búsqueda web. Obtendrás un texto verosímil de una sentencia que nadie comprobó que exista: esa es la lección.</w:t>
      </w:r>
    </w:p>
    <w:p>
      <w:pPr>
        <w:spacing w:after="100"/>
      </w:pPr>
    </w:p>
    <w:p>
      <w:pPr>
        <w:spacing w:after="120" w:line="264"/>
      </w:pPr>
      <w:r>
        <w:rPr>
          <w:sz w:val="20"/>
          <w:szCs w:val="20"/>
        </w:rPr>
        <w:t xml:space="preserve">→ Base de Charlotin: https://www.damiencharlotin.com/hallucinations/ (resoluciones con citas inventadas)</w:t>
      </w:r>
    </w:p>
    <w:p>
      <w:pPr>
        <w:spacing w:after="120" w:line="264"/>
      </w:pPr>
      <w:r>
        <w:rPr>
          <w:sz w:val="20"/>
          <w:szCs w:val="20"/>
        </w:rPr>
        <w:t xml:space="preserve">→ Poder Judicial · la sanción: https://www.pjud.cl/prensa-y-comunicaciones/noticias-del-poder-judicial/145652 (noticia oficial del caso chileno)</w:t>
      </w:r>
    </w:p>
    <w:p>
      <w:pPr>
        <w:pStyle w:val="Heading2"/>
        <w:spacing w:after="90" w:before="220"/>
      </w:pPr>
      <w:r>
        <w:rPr>
          <w:rFonts w:ascii="Arial" w:cs="Arial" w:eastAsia="Arial" w:hAnsi="Arial"/>
          <w:b/>
          <w:bCs/>
          <w:color w:val="0E7490"/>
          <w:sz w:val="25"/>
          <w:szCs w:val="25"/>
        </w:rPr>
        <w:t xml:space="preserve">3. El panorama: siete herramientas que conviene distinguir (55–75)</w:t>
      </w:r>
    </w:p>
    <w:p>
      <w:pPr>
        <w:spacing w:after="120" w:line="264"/>
      </w:pPr>
      <w:r>
        <w:rPr>
          <w:sz w:val="22"/>
          <w:szCs w:val="22"/>
        </w:rPr>
        <w:t xml:space="preserve">ChatGPT (generalista), Claude (redacción y textos largos), Gemini (integrado a Google), Copilot (dentro de Office), Perplexity (buscador con fuentes a la vista), Gemini Notebook (responde solo desde tus documentos) y los modelos abiertos de Hugging Face. Todas tienen plan gratuito.</w:t>
      </w:r>
    </w:p>
    <w:p>
      <w:pPr>
        <w:spacing w:after="120" w:line="264"/>
      </w:pPr>
      <w:r>
        <w:rPr>
          <w:sz w:val="20"/>
          <w:szCs w:val="20"/>
        </w:rPr>
        <w:t xml:space="preserve">→ ChatGPT: https://chatgpt.com</w:t>
      </w:r>
    </w:p>
    <w:p>
      <w:pPr>
        <w:spacing w:after="120" w:line="264"/>
      </w:pPr>
      <w:r>
        <w:rPr>
          <w:sz w:val="20"/>
          <w:szCs w:val="20"/>
        </w:rPr>
        <w:t xml:space="preserve">→ Claude: https://claude.ai</w:t>
      </w:r>
    </w:p>
    <w:p>
      <w:pPr>
        <w:spacing w:after="120" w:line="264"/>
      </w:pPr>
      <w:r>
        <w:rPr>
          <w:sz w:val="20"/>
          <w:szCs w:val="20"/>
        </w:rPr>
        <w:t xml:space="preserve">→ Gemini: https://gemini.google.com</w:t>
      </w:r>
    </w:p>
    <w:p>
      <w:pPr>
        <w:spacing w:after="120" w:line="264"/>
      </w:pPr>
      <w:r>
        <w:rPr>
          <w:sz w:val="20"/>
          <w:szCs w:val="20"/>
        </w:rPr>
        <w:t xml:space="preserve">→ Copilot: https://copilot.microsoft.com</w:t>
      </w:r>
    </w:p>
    <w:p>
      <w:pPr>
        <w:spacing w:after="120" w:line="264"/>
      </w:pPr>
      <w:r>
        <w:rPr>
          <w:sz w:val="20"/>
          <w:szCs w:val="20"/>
        </w:rPr>
        <w:t xml:space="preserve">→ Perplexity: https://www.perplexity.ai</w:t>
      </w:r>
    </w:p>
    <w:p>
      <w:pPr>
        <w:spacing w:after="120" w:line="264"/>
      </w:pPr>
      <w:r>
        <w:rPr>
          <w:sz w:val="20"/>
          <w:szCs w:val="20"/>
        </w:rPr>
        <w:t xml:space="preserve">→ Gemini Notebook: https://notebooklm.google.com</w:t>
      </w:r>
    </w:p>
    <w:p>
      <w:pPr>
        <w:spacing w:after="120" w:line="264"/>
      </w:pPr>
      <w:r>
        <w:rPr>
          <w:sz w:val="20"/>
          <w:szCs w:val="20"/>
        </w:rPr>
        <w:t xml:space="preserve">→ Hugging Face: https://huggingface.co (más de 2,5 millones de modelos abiertos)</w:t>
      </w:r>
    </w:p>
    <w:p>
      <w:pPr>
        <w:pStyle w:val="Heading2"/>
        <w:spacing w:after="90" w:before="220"/>
      </w:pPr>
      <w:r>
        <w:rPr>
          <w:rFonts w:ascii="Arial" w:cs="Arial" w:eastAsia="Arial" w:hAnsi="Arial"/>
          <w:b/>
          <w:bCs/>
          <w:color w:val="0E7490"/>
          <w:sz w:val="25"/>
          <w:szCs w:val="25"/>
        </w:rPr>
        <w:t xml:space="preserve">4. Encargar bien: los cuatro escalones (75–100)</w:t>
      </w:r>
    </w:p>
    <w:p>
      <w:pPr>
        <w:spacing w:after="120" w:line="264"/>
      </w:pPr>
      <w:r>
        <w:rPr>
          <w:sz w:val="22"/>
          <w:szCs w:val="22"/>
        </w:rPr>
        <w:t xml:space="preserve">No hace falta «ingeniería de prompts»: hace falta encargar como se le encarga a un procurador. Instrucción, contexto, formato y ejemplos. Sube de a un escalón con la misma consulta y compara lo que cambia.</w:t>
      </w:r>
    </w:p>
    <w:tbl>
      <w:tblPr>
        <w:tblW w:type="dxa" w:w="9360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9360"/>
      </w:tblGrid>
      <w:tr>
        <w:tc>
          <w:tcPr>
            <w:tcW w:type="dxa" w:w="9360"/>
            <w:shd w:fill="F2F6F7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0E7490"/>
                <w:sz w:val="20"/>
                <w:szCs w:val="20"/>
              </w:rPr>
              <w:t xml:space="preserve">Escalón 1 · instrucción sola (lo que hace todo el mundo)</w:t>
            </w:r>
          </w:p>
          <w:p>
            <w:pPr>
              <w:spacing w:after="4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Explícame la prescripción extintiva.</w:t>
            </w:r>
          </w:p>
        </w:tc>
      </w:tr>
    </w:tbl>
    <w:p>
      <w:pPr>
        <w:spacing w:after="100"/>
      </w:pPr>
    </w:p>
    <w:tbl>
      <w:tblPr>
        <w:tblW w:type="dxa" w:w="9360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9360"/>
      </w:tblGrid>
      <w:tr>
        <w:tc>
          <w:tcPr>
            <w:tcW w:type="dxa" w:w="9360"/>
            <w:shd w:fill="F2F6F7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0E7490"/>
                <w:sz w:val="20"/>
                <w:szCs w:val="20"/>
              </w:rPr>
              <w:t xml:space="preserve">Escalón 2 · + contexto</w:t>
            </w:r>
          </w:p>
          <w:p>
            <w:pPr>
              <w:spacing w:after="4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Soy estudiante de segundo año de Derecho en Chile. Explícame la prescripción extintiva del Código Civil chileno, con los plazos generales y en qué se diferencia de la caducidad.</w:t>
            </w:r>
          </w:p>
        </w:tc>
      </w:tr>
    </w:tbl>
    <w:p>
      <w:pPr>
        <w:spacing w:after="100"/>
      </w:pPr>
    </w:p>
    <w:tbl>
      <w:tblPr>
        <w:tblW w:type="dxa" w:w="9360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9360"/>
      </w:tblGrid>
      <w:tr>
        <w:tc>
          <w:tcPr>
            <w:tcW w:type="dxa" w:w="9360"/>
            <w:shd w:fill="F2F6F7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0E7490"/>
                <w:sz w:val="20"/>
                <w:szCs w:val="20"/>
              </w:rPr>
              <w:t xml:space="preserve">Escalón 3 · + formato</w:t>
            </w:r>
          </w:p>
          <w:p>
            <w:pPr>
              <w:spacing w:after="4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Lo mismo, pero entrégalo así: (1) definición en tres líneas; (2) tabla con los plazos y su artículo del Código Civil; (3) tres ejemplos cotidianos; (4) dos preguntas de examen tipo desarrollo. No inventes artículos: si no estás seguro de un número, dilo.</w:t>
            </w:r>
          </w:p>
        </w:tc>
      </w:tr>
    </w:tbl>
    <w:p>
      <w:pPr>
        <w:spacing w:after="100"/>
      </w:pPr>
    </w:p>
    <w:tbl>
      <w:tblPr>
        <w:tblW w:type="dxa" w:w="9360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9360"/>
      </w:tblGrid>
      <w:tr>
        <w:tc>
          <w:tcPr>
            <w:tcW w:type="dxa" w:w="9360"/>
            <w:shd w:fill="F2F6F7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0E7490"/>
                <w:sz w:val="20"/>
                <w:szCs w:val="20"/>
              </w:rPr>
              <w:t xml:space="preserve">Escalón 4 · + ejemplo (el salto de calidad)</w:t>
            </w:r>
          </w:p>
          <w:p>
            <w:pPr>
              <w:spacing w:after="4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Además, imita este estilo de apunte que te pego como muestra:</w:t>
            </w:r>
          </w:p>
          <w:p>
            <w:pPr>
              <w:spacing w:after="4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«Artículo 2514. La prescripción que extingue las acciones y derechos ajenos exige solamente cierto lapso de tiempo...»</w:t>
            </w:r>
          </w:p>
          <w:p>
            <w:pPr>
              <w:spacing w:after="4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[pega aquí un fragmento de tu propio apunte]</w:t>
            </w:r>
          </w:p>
          <w:p>
            <w:pPr>
              <w:spacing w:after="4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Usa ese tono y esa estructura.</w:t>
            </w:r>
          </w:p>
        </w:tc>
      </w:tr>
    </w:tbl>
    <w:p>
      <w:pPr>
        <w:spacing w:after="100"/>
      </w:pPr>
    </w:p>
    <w:p>
      <w:pPr>
        <w:pStyle w:val="Heading2"/>
        <w:spacing w:after="90" w:before="220"/>
      </w:pPr>
      <w:r>
        <w:rPr>
          <w:rFonts w:ascii="Arial" w:cs="Arial" w:eastAsia="Arial" w:hAnsi="Arial"/>
          <w:b/>
          <w:bCs/>
          <w:color w:val="0E7490"/>
          <w:sz w:val="25"/>
          <w:szCs w:val="25"/>
        </w:rPr>
        <w:t xml:space="preserve">5. Producto: el cuaderno comparativo (100–120)</w:t>
      </w:r>
    </w:p>
    <w:p>
      <w:pPr>
        <w:spacing w:after="120" w:line="264"/>
      </w:pPr>
      <w:r>
        <w:rPr>
          <w:sz w:val="22"/>
          <w:szCs w:val="22"/>
        </w:rPr>
        <w:t xml:space="preserve">La misma consulta en ChatGPT, Gemini y Claude. Registra qué respondió cada uno, qué citó, qué inventó o dudó, y cuál prefieres y por qué. En la clase 4 descubrirás cuál te mintió mejor.</w:t>
      </w:r>
    </w:p>
    <w:tbl>
      <w:tblPr>
        <w:tblW w:type="dxa" w:w="9360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9360"/>
      </w:tblGrid>
      <w:tr>
        <w:tc>
          <w:tcPr>
            <w:tcW w:type="dxa" w:w="9360"/>
            <w:shd w:fill="F2F6F7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0E7490"/>
                <w:sz w:val="20"/>
                <w:szCs w:val="20"/>
              </w:rPr>
              <w:t xml:space="preserve">La consulta del comparador (pégala en los tres)</w:t>
            </w:r>
          </w:p>
          <w:p>
            <w:pPr>
              <w:spacing w:after="4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¿Qué requisitos exige la ley chilena para interponer un recurso de protección y en qué plazo se interpone? Indica la fuente exacta de cada afirmación (norma y artículo). Si alguna parte no la sabes con certeza, dilo expresamente.</w:t>
            </w:r>
          </w:p>
        </w:tc>
      </w:tr>
    </w:tbl>
    <w:p>
      <w:pPr>
        <w:spacing w:after="100"/>
      </w:pPr>
    </w:p>
    <w:p>
      <w:pPr>
        <w:pStyle w:val="Heading2"/>
        <w:spacing w:after="90" w:before="260"/>
      </w:pPr>
      <w:r>
        <w:rPr>
          <w:rFonts w:ascii="Arial" w:cs="Arial" w:eastAsia="Arial" w:hAnsi="Arial"/>
          <w:b/>
          <w:bCs/>
          <w:color w:val="164E63"/>
          <w:sz w:val="25"/>
          <w:szCs w:val="25"/>
        </w:rPr>
        <w:t xml:space="preserve">Protocolo de la clase 1 · cuaderno comparativo</w:t>
      </w:r>
    </w:p>
    <w:p>
      <w:pPr>
        <w:spacing w:after="120" w:line="264"/>
      </w:pPr>
      <w:r>
        <w:rPr>
          <w:sz w:val="22"/>
          <w:szCs w:val="22"/>
        </w:rPr>
        <w:t xml:space="preserve">☐  Pegué la misma consulta en ChatGPT, Gemini y Claude.</w:t>
      </w:r>
    </w:p>
    <w:p>
      <w:pPr>
        <w:spacing w:after="120" w:line="264"/>
      </w:pPr>
      <w:r>
        <w:rPr>
          <w:sz w:val="22"/>
          <w:szCs w:val="22"/>
        </w:rPr>
        <w:t xml:space="preserve">☐  Anoté qué citó cada modelo (norma y artículo).</w:t>
      </w:r>
    </w:p>
    <w:p>
      <w:pPr>
        <w:spacing w:after="120" w:line="264"/>
      </w:pPr>
      <w:r>
        <w:rPr>
          <w:sz w:val="22"/>
          <w:szCs w:val="22"/>
        </w:rPr>
        <w:t xml:space="preserve">☐  Marqué qué dato dudó o inventó cada uno.</w:t>
      </w:r>
    </w:p>
    <w:p>
      <w:pPr>
        <w:spacing w:after="120" w:line="264"/>
      </w:pPr>
      <w:r>
        <w:rPr>
          <w:sz w:val="22"/>
          <w:szCs w:val="22"/>
        </w:rPr>
        <w:t xml:space="preserve">☐  Elegí mi respuesta preferida y escribí por qué en dos líneas.</w:t>
      </w:r>
    </w:p>
    <w:p>
      <w:pPr>
        <w:spacing w:after="120" w:line="264"/>
      </w:pPr>
      <w:r>
        <w:rPr>
          <w:sz w:val="22"/>
          <w:szCs w:val="22"/>
        </w:rPr>
        <w:t xml:space="preserve">☐  Tarea puente: repetí los cuatro escalones con una materia de otro ramo.</w:t>
      </w:r>
    </w:p>
    <w:p>
      <w:pPr>
        <w:spacing w:after="120" w:line="264"/>
      </w:pPr>
      <w:r>
        <w:rPr>
          <w:i/>
          <w:iCs/>
          <w:color w:val="555555"/>
          <w:sz w:val="21"/>
          <w:szCs w:val="21"/>
        </w:rPr>
        <w:t xml:space="preserve">Trae a la clase 2 tu cuenta a mano: configuraremos la privacidad en vivo.</w:t>
      </w:r>
    </w:p>
    <w:p>
      <w:pPr>
        <w:spacing w:after="100"/>
      </w:pPr>
    </w:p>
    <w:p>
      <w:pPr>
        <w:spacing w:after="120" w:line="264"/>
      </w:pPr>
      <w:r>
        <w:rPr>
          <w:b/>
          <w:bCs/>
          <w:color w:val="164E63"/>
          <w:sz w:val="21"/>
          <w:szCs w:val="21"/>
        </w:rPr>
        <w:t xml:space="preserve">La IA redacta borradores y organiza información; la fuente oficial (Ley Chile, Poder Judicial) es la única que confirma.</w:t>
      </w:r>
    </w:p>
    <w:sectPr>
      <w:pgSz w:w="12240" w:h="15840" w:orient="portrait"/>
      <w:pgMar w:top="1300" w:right="1300" w:bottom="13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2026-10-29T06:03:40.905Z</dcterms:created>
  <dcterms:modified xsi:type="dcterms:W3CDTF">2026-10-29T06:03:40.912Z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